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>
      <w:pPr>
        <w:spacing w:line="240" w:lineRule="auto"/>
        <w:ind w:firstLine="709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разработана в соответствии с: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</w:p>
    <w:p>
      <w:pPr>
        <w:pStyle w:val="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Федеральным законом от 29.12.2012 г. № 273-ФЗ «Об образовании в Российской Федерации»;</w:t>
      </w:r>
    </w:p>
    <w:p>
      <w:pPr>
        <w:pStyle w:val="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Постановлением Главного государственного санитарного врача РФ от 28.09.2020 №28 «Об утверждении санитарных правил СП 2.4.3648-20 (Санитарно-эпидемиологические требования к организациям воспитания, обучения, отдыха и оздоровления детей и молодежи);</w:t>
      </w:r>
    </w:p>
    <w:p>
      <w:pPr>
        <w:pStyle w:val="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по разработке и реализации дополнительных общеразвивающих программ</w:t>
      </w:r>
    </w:p>
    <w:p>
      <w:pPr>
        <w:pStyle w:val="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Письмом Министерства образования и науки России от 18.11.2015 №09-3242 «О направлении информации» 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>
      <w:pPr>
        <w:pStyle w:val="7"/>
        <w:spacing w:after="0" w:line="240" w:lineRule="auto"/>
        <w:ind w:left="0" w:firstLine="140" w:firstLineChars="5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Распоряжение Правительства Российской Федерации от 29.05.2015 года №996-р «Стратегия развития воспитания в Российской Федерации на период до 2025 года»;</w:t>
      </w:r>
    </w:p>
    <w:p>
      <w:pPr>
        <w:pStyle w:val="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Правительства Российской Федерации от 31.03.2022 года № 678-р «Концепция развития дополнительного образования детей».</w:t>
      </w: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32"/>
          <w:szCs w:val="28"/>
        </w:rPr>
      </w:pPr>
      <w:r>
        <w:rPr>
          <w:b/>
          <w:bCs/>
          <w:sz w:val="28"/>
          <w:szCs w:val="28"/>
        </w:rPr>
        <w:t xml:space="preserve">Направленность программы </w:t>
      </w:r>
      <w:r>
        <w:rPr>
          <w:sz w:val="28"/>
          <w:szCs w:val="28"/>
        </w:rPr>
        <w:t xml:space="preserve">: </w:t>
      </w:r>
      <w:r>
        <w:rPr>
          <w:rFonts w:eastAsia="SimSun"/>
          <w:sz w:val="28"/>
          <w:lang w:eastAsia="zh-CN" w:bidi="ar"/>
        </w:rPr>
        <w:t xml:space="preserve">социально-гуманитарная. </w:t>
      </w:r>
    </w:p>
    <w:p>
      <w:pPr>
        <w:pStyle w:val="6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Уровень программы</w:t>
      </w:r>
      <w:r>
        <w:rPr>
          <w:color w:val="auto"/>
          <w:sz w:val="28"/>
          <w:szCs w:val="28"/>
        </w:rPr>
        <w:t xml:space="preserve">: </w:t>
      </w:r>
    </w:p>
    <w:tbl>
      <w:tblPr>
        <w:tblStyle w:val="3"/>
        <w:tblW w:w="6760" w:type="dxa"/>
        <w:tblInd w:w="0" w:type="dxa"/>
        <w:shd w:val="clear" w:color="auto" w:fill="FFFFFF"/>
        <w:tblLayout w:type="autofit"/>
        <w:tblCellMar>
          <w:top w:w="70" w:type="dxa"/>
          <w:left w:w="70" w:type="dxa"/>
          <w:bottom w:w="70" w:type="dxa"/>
          <w:right w:w="70" w:type="dxa"/>
        </w:tblCellMar>
      </w:tblPr>
      <w:tblGrid>
        <w:gridCol w:w="1565"/>
        <w:gridCol w:w="1577"/>
        <w:gridCol w:w="1577"/>
        <w:gridCol w:w="2032"/>
        <w:gridCol w:w="1684"/>
      </w:tblGrid>
      <w:tr>
        <w:tblPrEx>
          <w:shd w:val="clear" w:color="auto" w:fill="FFFFFF"/>
          <w:tblCellMar>
            <w:top w:w="70" w:type="dxa"/>
            <w:left w:w="70" w:type="dxa"/>
            <w:bottom w:w="70" w:type="dxa"/>
            <w:right w:w="70" w:type="dxa"/>
          </w:tblCellMar>
        </w:tblPrEx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</w:rPr>
              <w:t>Уровень освоение программы</w:t>
            </w:r>
          </w:p>
        </w:tc>
        <w:tc>
          <w:tcPr>
            <w:tcW w:w="5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</w:rPr>
              <w:t>Критерии оценки</w:t>
            </w:r>
          </w:p>
        </w:tc>
      </w:tr>
      <w:tr>
        <w:tblPrEx>
          <w:shd w:val="clear" w:color="auto" w:fill="FFFFFF"/>
          <w:tblCellMar>
            <w:top w:w="70" w:type="dxa"/>
            <w:left w:w="70" w:type="dxa"/>
            <w:bottom w:w="70" w:type="dxa"/>
            <w:right w:w="7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1"/>
              </w:rPr>
              <w:t>Знание основных терминов и понятий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Владение основами игр и их правилами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Владение основами моделирования, описания и оформления продукта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Владение основами проведения игр, возможность создания своего продукта</w:t>
            </w:r>
          </w:p>
        </w:tc>
      </w:tr>
      <w:tr>
        <w:tblPrEx>
          <w:shd w:val="clear" w:color="auto" w:fill="FFFFFF"/>
          <w:tblCellMar>
            <w:top w:w="70" w:type="dxa"/>
            <w:left w:w="70" w:type="dxa"/>
            <w:bottom w:w="70" w:type="dxa"/>
            <w:right w:w="70" w:type="dxa"/>
          </w:tblCellMar>
        </w:tblPrEx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</w:rPr>
              <w:t>Базовый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овладел менее чем ½ объема знаний, предусмотренных программой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овладел менее чем ½ объема знаний, предусмотренных программой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овладел менее чем ½ объема знаний, предусмотренных программой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овладел менее чем ½ объема знаний, предусмотренных программой</w:t>
            </w:r>
          </w:p>
        </w:tc>
      </w:tr>
      <w:tr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</w:rPr>
              <w:t>Повышенный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овладел более чем 50% объема знаний, предусмотренных программой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овладел более чем 50% объема знаний, предусмотренных программой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овладел более чем 50% объема знаний, предусмотренных программой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овладел более чем 50% объема знаний, предусмотренных программой</w:t>
            </w:r>
          </w:p>
        </w:tc>
      </w:tr>
      <w:tr>
        <w:tblPrEx>
          <w:shd w:val="clear" w:color="auto" w:fill="FFFFFF"/>
          <w:tblCellMar>
            <w:top w:w="70" w:type="dxa"/>
            <w:left w:w="70" w:type="dxa"/>
            <w:bottom w:w="70" w:type="dxa"/>
            <w:right w:w="70" w:type="dxa"/>
          </w:tblCellMar>
        </w:tblPrEx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</w:rPr>
              <w:t>Высокий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освоил практически весь объем знаний, предусмотренных программой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освоил практически весь объем знаний, предусмотренных программой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освоил практически весь объем знаний, предусмотренных программой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1"/>
              </w:rPr>
              <w:t>освоил практически весь объем знаний, предусмотренных программой</w:t>
            </w:r>
          </w:p>
        </w:tc>
      </w:tr>
    </w:tbl>
    <w:p>
      <w:pPr>
        <w:pStyle w:val="6"/>
        <w:rPr>
          <w:sz w:val="28"/>
          <w:szCs w:val="28"/>
        </w:rPr>
      </w:pP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программы: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Программа “Настольные игры” удовлетворяет потребность в развитии способностей ребенка за пределами учебного процесса, помогает каждому ребенку раскрыть себя, способствует обучению искусству организации свободного от учебы времени. Поэтому эта программа очень актуальна в современном мире дефицита живого общения. </w:t>
      </w:r>
    </w:p>
    <w:p>
      <w:pPr>
        <w:contextualSpacing/>
        <w:jc w:val="both"/>
        <w:rPr>
          <w:rFonts w:ascii="Times New Roman" w:hAnsi="Times New Roman" w:cs="Times New Roman" w:eastAsiaTheme="minorHAnsi"/>
          <w:b/>
          <w:bCs/>
          <w:color w:val="000000"/>
          <w:sz w:val="28"/>
          <w:szCs w:val="28"/>
          <w:lang w:eastAsia="en-US"/>
        </w:rPr>
      </w:pP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 реализации программы.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Современная настольная игра – это не только способ проведения досуга, но и отличный инструмент для формирования и развития личности ребенка, который поможет ему пройти периоды адаптации в школе и социализироваться в классе и обществе. Федеральный государственный образовательный стандарт диктует нам социальные и личностные компетенции, которыми должен обладать школьник. В философии игра определяется как одна из форм человеческого бытия, как определенная деятельность. Эта деятельность осознается человеком как занятие, выполняемое вне повседневной жизни, совершается внутри ограниченного пространства и времени, протекает упорядоченно, по определенным правилам, не преследует никакого прямого материального интереса и не ищет пользы, может целиком овладевать играющим. В структуру игры как деятельности органично входит целеполагание,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возможностями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выбора и элементами соревновательности, удовлетворения потребности в самоутверждении, самореализации.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А.С. Макаренко о роли детских игр говорил следующее: «Каков ребенок в игре, таким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во многом он будет в работе. Поэтому воспитание будущего деятеля происходит, прежде всего, в игре...». Игровая деятельность влияет на формирование произвольности психических процессов. В игре у ребенка начинает развиваться произвольное внимание и произвольная память. В условиях игры дети сосредотачиваются лучше и запоминают больше. Сознательная цельвыделяется для ребенка раньше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 Игра – самый естественный и мотивирующий для детей вид деятельности, и основная естественная функция игры – именно обучение. В отличие от выполнения формальных заданий, игра воспринимается детьми как важная и полная смысла деятельность. Можно сказать, что игра – это метод познания действительности. При изучении развития детей, видно, что в игре эффективнее, чем в других видах деятельности, развиваются все психические процессы. А.Н. Леонтьев отмечал, что в игре развиваются новые, прогрессивные образования и возникает мощный познавательный мотив, являющийся основой возникновения стимула к учебе. </w:t>
      </w:r>
    </w:p>
    <w:p>
      <w:pPr>
        <w:pStyle w:val="6"/>
        <w:rPr>
          <w:color w:val="auto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создание условий для развития познавательного интереса и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активности детей, способствующих успешной самореализации личности и раскрытию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творческого потенциала через применение игровых технологий. </w:t>
      </w:r>
    </w:p>
    <w:p>
      <w:pPr>
        <w:pStyle w:val="6"/>
        <w:contextualSpacing/>
        <w:jc w:val="both"/>
        <w:rPr>
          <w:color w:val="auto"/>
          <w:sz w:val="28"/>
          <w:szCs w:val="28"/>
        </w:rPr>
      </w:pPr>
    </w:p>
    <w:p>
      <w:pPr>
        <w:pStyle w:val="6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 программы: </w:t>
      </w:r>
    </w:p>
    <w:p>
      <w:pPr>
        <w:pStyle w:val="6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Обучающие: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научить планировать свою работу, корректировать и оценивать свой труд, применять знания, умения, полученные в клубе;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способствовать овладению практическими умениями и навыками творческой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деятельности; </w:t>
      </w:r>
    </w:p>
    <w:p>
      <w:pPr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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научить правильно использовать термины, формировать определения. </w:t>
      </w:r>
    </w:p>
    <w:p>
      <w:pPr>
        <w:pStyle w:val="6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Развивающие: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способствовать развитию навыков группового взаимодействия;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прививать уважительное отношение к партнерам по общению, навыки трудовой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культуры, аккуратности; </w:t>
      </w:r>
    </w:p>
    <w:p>
      <w:pPr>
        <w:contextualSpacing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развивать логическое мышление и творческие способности; </w:t>
      </w:r>
    </w:p>
    <w:p>
      <w:pPr>
        <w:contextualSpacing/>
        <w:jc w:val="both"/>
        <w:rPr>
          <w:i/>
          <w:iCs/>
          <w:color w:val="auto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</w:t>
      </w:r>
      <w:r>
        <w:rPr>
          <w:rFonts w:ascii="Times New Roman" w:hAnsi="Times New Roman" w:eastAsia="SimSun" w:cs="Times New Roman"/>
          <w:sz w:val="28"/>
          <w:szCs w:val="28"/>
          <w:lang w:eastAsia="zh-CN" w:bidi="ar"/>
        </w:rPr>
        <w:t>способствовать развитию творческой инициативы.</w:t>
      </w:r>
    </w:p>
    <w:p>
      <w:pPr>
        <w:pStyle w:val="6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Воспитательные: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способствовать воспитанию трудолюбия, внимательности, самостоятельности, чувства ответственности, патриотизма, воспитанию активной гражданской позиции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обучающихся;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содействовать социальной адаптации детей и молодежи, их самоопределению;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способствовать воспитанию и развитию художественного вкуса обучающихся, их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интеллектуальной и эмоциональной сферы, творческого потенциала, воспитанию 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нравственности, трудолюбия, доброжелательности, честности, милосердия. </w:t>
      </w:r>
    </w:p>
    <w:p>
      <w:pPr>
        <w:pStyle w:val="6"/>
        <w:jc w:val="both"/>
        <w:rPr>
          <w:color w:val="auto"/>
          <w:sz w:val="28"/>
          <w:szCs w:val="28"/>
        </w:rPr>
      </w:pPr>
    </w:p>
    <w:p>
      <w:pPr>
        <w:pStyle w:val="6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Адресат программы </w:t>
      </w:r>
      <w:r>
        <w:rPr>
          <w:color w:val="auto"/>
          <w:sz w:val="28"/>
          <w:szCs w:val="28"/>
        </w:rPr>
        <w:t xml:space="preserve">– программа предназначена для учащихся 8-11 лет. </w:t>
      </w:r>
    </w:p>
    <w:p>
      <w:pPr>
        <w:pStyle w:val="6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Форма реализации программы – </w:t>
      </w:r>
      <w:r>
        <w:rPr>
          <w:color w:val="auto"/>
          <w:sz w:val="28"/>
          <w:szCs w:val="28"/>
        </w:rPr>
        <w:t xml:space="preserve">очная. </w:t>
      </w:r>
    </w:p>
    <w:p>
      <w:pPr>
        <w:pStyle w:val="6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 реализации программы</w:t>
      </w:r>
      <w:r>
        <w:rPr>
          <w:color w:val="auto"/>
          <w:sz w:val="28"/>
          <w:szCs w:val="28"/>
        </w:rPr>
        <w:t>: 1 год обучения – 34 часа.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организации занятий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SimSun" w:cs="Times New Roman"/>
          <w:color w:val="000000"/>
          <w:sz w:val="28"/>
          <w:szCs w:val="24"/>
          <w:lang w:eastAsia="zh-CN" w:bidi="ar"/>
        </w:rPr>
        <w:t xml:space="preserve">информационно-познавательные (беседа, показ, объяснение); </w:t>
      </w:r>
    </w:p>
    <w:p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SimSun" w:cs="Times New Roman"/>
          <w:color w:val="000000"/>
          <w:sz w:val="28"/>
          <w:szCs w:val="24"/>
          <w:lang w:eastAsia="zh-CN" w:bidi="ar"/>
        </w:rPr>
        <w:t xml:space="preserve">метод частично регламентированного упражнения (игровой, соревновательный); </w:t>
      </w:r>
    </w:p>
    <w:p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SimSun" w:cs="Times New Roman"/>
          <w:color w:val="000000"/>
          <w:sz w:val="28"/>
          <w:szCs w:val="24"/>
          <w:lang w:eastAsia="zh-CN" w:bidi="ar"/>
        </w:rPr>
        <w:t xml:space="preserve">методы контроля и самоконтроля; </w:t>
      </w:r>
    </w:p>
    <w:p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SimSun" w:cs="Times New Roman"/>
          <w:color w:val="000000"/>
          <w:sz w:val="28"/>
          <w:szCs w:val="24"/>
          <w:lang w:eastAsia="zh-CN" w:bidi="ar"/>
        </w:rPr>
        <w:t xml:space="preserve">стимулирующие методы. </w:t>
      </w:r>
    </w:p>
    <w:p>
      <w:pPr>
        <w:contextualSpacing/>
        <w:jc w:val="both"/>
        <w:rPr>
          <w:rFonts w:ascii="Times New Roman" w:hAnsi="Times New Roman" w:eastAsia="SimSun" w:cs="Times New Roman"/>
          <w:color w:val="000000"/>
          <w:sz w:val="28"/>
          <w:szCs w:val="24"/>
          <w:lang w:eastAsia="zh-CN" w:bidi="ar"/>
        </w:rPr>
      </w:pPr>
    </w:p>
    <w:p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SimSun" w:cs="Times New Roman"/>
          <w:color w:val="000000"/>
          <w:sz w:val="28"/>
          <w:szCs w:val="24"/>
          <w:lang w:eastAsia="zh-CN" w:bidi="ar"/>
        </w:rPr>
        <w:t xml:space="preserve">Программой предусматриваются: групповые занятия, занятия в парах, мастер-классы, </w:t>
      </w:r>
    </w:p>
    <w:p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SimSun" w:cs="Times New Roman"/>
          <w:color w:val="000000"/>
          <w:sz w:val="28"/>
          <w:szCs w:val="24"/>
          <w:lang w:eastAsia="zh-CN" w:bidi="ar"/>
        </w:rPr>
        <w:t xml:space="preserve">турниры. </w:t>
      </w:r>
    </w:p>
    <w:p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SimSun" w:cs="Times New Roman"/>
          <w:color w:val="000000"/>
          <w:sz w:val="28"/>
          <w:szCs w:val="24"/>
          <w:lang w:eastAsia="zh-CN" w:bidi="ar"/>
        </w:rPr>
        <w:t xml:space="preserve">В программе используются здоровьесберегающие, информационно - коммуникативные, </w:t>
      </w:r>
    </w:p>
    <w:p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SimSun" w:cs="Times New Roman"/>
          <w:color w:val="000000"/>
          <w:sz w:val="28"/>
          <w:szCs w:val="24"/>
          <w:lang w:eastAsia="zh-CN" w:bidi="ar"/>
        </w:rPr>
        <w:t xml:space="preserve">игровые педагогические технологии. </w:t>
      </w:r>
    </w:p>
    <w:p>
      <w:pPr>
        <w:pStyle w:val="6"/>
        <w:rPr>
          <w:color w:val="auto"/>
          <w:sz w:val="28"/>
          <w:szCs w:val="28"/>
        </w:rPr>
      </w:pPr>
    </w:p>
    <w:p>
      <w:pPr>
        <w:pStyle w:val="6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Режим занятий: </w:t>
      </w:r>
    </w:p>
    <w:p>
      <w:pPr>
        <w:pStyle w:val="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год обучения – 1 раз в неделю по 45 минут (1 академический час). </w:t>
      </w:r>
    </w:p>
    <w:p>
      <w:pPr>
        <w:pStyle w:val="6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Наполняемость группы </w:t>
      </w:r>
      <w:r>
        <w:rPr>
          <w:color w:val="auto"/>
          <w:sz w:val="28"/>
          <w:szCs w:val="28"/>
        </w:rPr>
        <w:t xml:space="preserve">10 - 15  человек. </w:t>
      </w:r>
    </w:p>
    <w:p>
      <w:pPr>
        <w:pStyle w:val="6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Набор в группы. </w:t>
      </w:r>
      <w:r>
        <w:rPr>
          <w:color w:val="auto"/>
          <w:sz w:val="28"/>
          <w:szCs w:val="28"/>
        </w:rPr>
        <w:t xml:space="preserve">Зачисление производится по заявлению родителей или лиц, их замещающих по итогам входящей диагностики. </w:t>
      </w:r>
    </w:p>
    <w:p>
      <w:pPr>
        <w:pStyle w:val="6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Виды учебных занятий:</w:t>
      </w:r>
    </w:p>
    <w:p>
      <w:pPr>
        <w:pStyle w:val="6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по количеству детей, участвующих в занятии: коллективное, групповое;</w:t>
      </w:r>
    </w:p>
    <w:p>
      <w:pPr>
        <w:pStyle w:val="6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по дидактической цели: вводное, практическое, комбинированное.</w:t>
      </w:r>
    </w:p>
    <w:p>
      <w:pPr>
        <w:pStyle w:val="6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Планируемые результаты </w:t>
      </w:r>
      <w:r>
        <w:rPr>
          <w:color w:val="auto"/>
          <w:sz w:val="28"/>
          <w:szCs w:val="28"/>
        </w:rPr>
        <w:t xml:space="preserve">освоения данной программы отслеживаются по трем компонентам: личностному, метапредметному и предметному. </w:t>
      </w:r>
    </w:p>
    <w:p>
      <w:pPr>
        <w:pStyle w:val="6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Ожидаемые результаты.</w:t>
      </w:r>
    </w:p>
    <w:p>
      <w:pPr>
        <w:pStyle w:val="6"/>
        <w:spacing w:line="360" w:lineRule="auto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Предметные. </w:t>
      </w:r>
    </w:p>
    <w:p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освоение различных приёмов в решении логических задач;</w:t>
      </w:r>
    </w:p>
    <w:p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приобретение опыта в обучении интеллектуальным играм разной направленности;</w:t>
      </w:r>
    </w:p>
    <w:p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овладение умением понимать, прослеживать причинно-следственные связи, выстраивать простейшие умозаключения на их основе;</w:t>
      </w:r>
    </w:p>
    <w:p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развитие наблюдательности, внимания, памяти, воображения, мышления.</w:t>
      </w:r>
    </w:p>
    <w:p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обучающиеся смогут освоить в ходе обучения знания, умения и способы действий, специфические для данной программы;</w:t>
      </w:r>
    </w:p>
    <w:p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получат новые знания, его интерпретацию, смогут преобразовать и применить в различных учебных ситуациях, а также при создании учебных и социальных проектов.</w:t>
      </w:r>
    </w:p>
    <w:p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смогут применить знания, умения и навыки в учебных ситуациях и в реальных жизненных условиях.</w:t>
      </w:r>
    </w:p>
    <w:p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свободное владение игровой терминологией: знание основных видов игр, этапов игрового мастерства; понимание основ этики игроков, основ этики зрителя; знание теоретических основ игры и методики постановочной работы над словом;</w:t>
      </w:r>
    </w:p>
    <w:p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игрового мастерства: владение простыми актерскими трюками; умение определять задачу, сверхзадачу и сквозное действие; умение самостоятельно работать над созданием игр любых жанров; владение индивидуальной программой для выступления и навыками свободного словесного общения перед аудиторией; владение навыками коллективной работы над играми и воплощения замысла с подключением к работе партнеров.</w:t>
      </w:r>
    </w:p>
    <w:p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формирование проектной культуры и выстраивание проектной деятельности: освоение инструментария анализа проектной деятельности; владение механизмами оценки результатов и критериев эффективности проектной деятельности; формирование необходимого уровня проектного, аналитического, управленческого мышления, коммуникативных, организаторских и управленческих навыков;</w:t>
      </w:r>
    </w:p>
    <w:p>
      <w:pPr>
        <w:pStyle w:val="6"/>
        <w:spacing w:line="360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t>- освоение основных технологий социальной коммуникации и развития общественных связей; освоение ключевых современных форм, способов и методов анализа ситуации, выделения проблем и общественных инициатив, организации деятельности по решению проблемы, реализации и управления циклом реализации общественно-полезной деятельности.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</w:p>
    <w:p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формирование следующих универсальных учебных действий (УУД).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>Регулятивные УУД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: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Определять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и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формулировать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цель деятельности с помощью взрослого.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Проговаривать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последовательность действий.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Учиться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высказывать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своё предположение (версию) на основе работы с определённой игрой.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Учиться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работать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по предложенному взрослым плану.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Учиться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отличать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верно выполненное задание от неверного.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Учиться совместно с взрослым и другими учениками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давать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эмоциональную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оценку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деятельности товарищей.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Познавательные УУД: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Ориентироваться в своей системе знаний: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отличать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новое от уже известного с помощью взрослого.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Делать предварительный отбор источников информации: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ориентироваться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в правилах конкретной игры.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Добывать новые знания: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находить ответы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на вопросы, используя схемы, таблицы, правила игр и другие источники, свой жизненный опыт и информацию, полученную от взрослого.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Перерабатывать полученную информацию: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делать выводы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в результате совместной работы всего класса.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Перерабатывать полученную информацию: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сравнивать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и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группировать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предметы и объекты по классам, видам, предназначениям.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>Коммуникативные УУД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: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Донести свою позицию до других: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оформлять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свою мысль в устной речи (на уровне одного предложения или небольшого текста).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Слушать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и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понимать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речь других.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Читать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и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пересказывать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текст.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• Совместно договариваться о правилах общения и поведения в школе и следовать им.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• Учиться выполнять различные роли в группе (лидера, исполнителя, критика).</w:t>
      </w:r>
    </w:p>
    <w:p>
      <w:pPr>
        <w:pStyle w:val="6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Личностные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- Определять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и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 xml:space="preserve">высказывать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самые простые общие для всех людей правила поведения при сотрудничестве (этические нормы).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В предложенных 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 w:eastAsia="TimesNewRomanPS-ItalicMT" w:cs="Times New Roman"/>
          <w:i/>
          <w:iCs/>
          <w:color w:val="000000"/>
          <w:sz w:val="28"/>
          <w:szCs w:val="28"/>
          <w:lang w:eastAsia="zh-CN" w:bidi="ar"/>
        </w:rPr>
        <w:t>делать выбор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, при поддержке других участников группы и взрослого, как поступить. </w:t>
      </w:r>
    </w:p>
    <w:p>
      <w:pPr>
        <w:pStyle w:val="6"/>
        <w:rPr>
          <w:i/>
          <w:iCs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Формы аттестации на завершающем этапе реализации программы</w:t>
      </w:r>
      <w:r>
        <w:rPr>
          <w:sz w:val="28"/>
          <w:szCs w:val="28"/>
        </w:rPr>
        <w:t>: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обсуждение,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партий в настольные игры,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устный, письменный зачет, анкетирование;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квест;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турнир.</w:t>
      </w:r>
    </w:p>
    <w:p>
      <w:pPr>
        <w:pStyle w:val="6"/>
        <w:rPr>
          <w:color w:val="0000FF"/>
          <w:sz w:val="23"/>
          <w:szCs w:val="23"/>
        </w:rPr>
      </w:pP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</w:rPr>
        <w:t>Учебный план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Cs/>
          <w:i/>
          <w:kern w:val="36"/>
          <w:sz w:val="28"/>
          <w:szCs w:val="28"/>
        </w:rPr>
      </w:pPr>
    </w:p>
    <w:tbl>
      <w:tblPr>
        <w:tblStyle w:val="5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57"/>
        <w:gridCol w:w="1595"/>
        <w:gridCol w:w="1595"/>
        <w:gridCol w:w="1595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тем </w:t>
            </w:r>
          </w:p>
        </w:tc>
        <w:tc>
          <w:tcPr>
            <w:tcW w:w="4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Вводное занятие. Инструктаж по «Охране труда учащихся». Настольные игры и их роль.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  <w:t>Американская школа игр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устный опрос, зачет по правилам изученных игр, игровой турнир.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Европейская школа игр  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 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US"/>
              </w:rPr>
              <w:t>устный опрос, зачет по правилам изученных игр, игровой турнир.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тематику ПДД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зачет по правилам изученных игр, игровой турнир.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Настольные игры для компании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устный опрос, зачет по правилам изученных игр, игровой турнир.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Промежуточная аттестация 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устный, письменный опрос, анкетирование; квест, игровой турнир, тестирование.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Семейные настольные игры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устный опрос, зачет по правилам изученных игр, игровой турнир.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Кооперативные игры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устный опрос, зачет по правилам изученных игр, игровой турнир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Игры русских авторов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устный, письменный опрос, квест, игровой турнир.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Филлеры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устный, письменный опрос, квест, игровой турнир.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Подготовка тематического турнира.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контроль: проведение беседы по игре, практикум по игре.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Участие в массовых мероприятиях по Плану Учреждения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личные и групповые результаты участия в конкурсах, соревнованиях, слётах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Итоговая аттестация.  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создание игрового продукта и его презентация.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highlight w:val="none"/>
        </w:rPr>
        <w:t>Содержание учебного плана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</w:rPr>
        <w:t>Тема 1.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</w:rPr>
        <w:t xml:space="preserve"> Вводное занятие. Инструктаж по «Охране труда учащихся». Настольные игры и их роль 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</w:rPr>
        <w:t xml:space="preserve">Теория. 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</w:rPr>
        <w:t xml:space="preserve">Знакомство. Инструктаж по «Охране труда учащихся». Первая встреча с игрой. Игра и жизнь. Правила игры, игровые роли, сюжет игры. Игровое состояние. Назначение игры. Многообразие игр. Настольные игры. Виды настольных игр. Планирование индивидуального успеха. Ситуативные игры. Игровая задача в ролевой игре (контакт, влияние на собеседника, переговоры). Правила ролевой игры. 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</w:rPr>
        <w:t xml:space="preserve">Практика. 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</w:rPr>
        <w:t>Пробные игры: Каркассон, Колонизаторы, Черепашьи бега, Цитадели.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2.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Американская школа игр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Теория.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Американская школа игр. Новая встреча с иным видом настольных игр. Роли в игре и жизни. Игровая реальность. Серьёзное отношение к игре и игровое отношение к жизни. «Американские» игры на примерах. Логические игры. Изучение основ и идеи логических игр. Правила и порядок хода. Аргументирование собственного мнения и анализ ситуации. Освоение правил и практика игры. Практика.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Пробные игры: Особняки безумия, Зомбицид, Descent.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3.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Европейская школа игр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Теория.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Европейская школа игр. Новые виды настольных игр. Экономические игры и их роль. Знакомство с экономическими играми на примерах. Основные правила стратегически верной игры. Правильный выбор стратегии. Основные плюсы и минусы. Фактор азарта в игре. Выигрыш и проигрыш. Радость и огорчение в игре. Нарушение правил в игры. Опасности игры.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Практика.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Пробные игры: Анахронность, Орлеан, Виконты Западного королевства, Теотиуакан, Покорение Марса.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4.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Игры на тематику ПДД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Теория.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ПДД в реальной жизни. Игры на тематику ПДД. Их взаимосвязь и правильность отражения реальной ситуации.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Практика.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Пробные игры: Правила дорожного движения.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5.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Настольные игры для компании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Теория.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Настольные игры для компании. Ситуативные игры. Парное взаимодействие в игре. Противостояние влиянию. Изучение игр для компаний. Освоение правил и практика игры.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Практика.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Пробные игры: Кодовые имена, Декодер, Крокодил, Длина волны, Воображариум.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6.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Промежуточная аттестация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Практика. Зачёты на знания правил игр. Тестирование по вопросам ПДД. Экзамен по организации и проведению учащимися игровых турниров.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7.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Семейные настольные игры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Теория.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Абстрактно-логические настольные игры. Разнообразие настольных игр. Парные игры. Игры на бумаге (крестики-нолики). Семейные настольные игры. Настольные игры как способы времяпрепровождения в семье и компании. Удовольствие от игры. Игра ради удовольствия, а не победы. Позитивность в мыслях о себе и о противнике. Освоение правил и практика игры.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Практика.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Пробные игры: Руины острова Арнак, Остров кошек, Повелитель Токио, Архитекторы Западного королевства.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8.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Кооперативные игры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Теория.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Кооперативные игры. Комплексные игры на картах. Игровые соревнования двух групп. Ограничение игровой территории. Совместная победа или поражение. Работа в одной команде. Позиция лидера и аргументированность мнения. Освоение правил и практика игры.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Практика.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Пробные игры: Ужас Аркхэма, Остров духов, Мёртвый сезон, Цербер.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9.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Игры русских авторов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Теория.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Примеры успешных игр российских разработчиков. Сравнение решений «русского» и «иностранного» игропрома. Пути развития российских настольных игр. Освоение правил и практика игры.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Практика.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Пробные игры: Эволюция, Имаджинариум, Стальная арена, Свинтус.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10.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Филлеры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Теория.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Интеллектуально-познавательные игры. Вопросы на эрудицию и сообразительность. Формулировка вопроса в познавательных играх. Корректные и некорректные вопросы. Подвижные игры. Подвижные игры для развития ловкости, на развитие реактивности, быстроты, скоростной выносливости. Юмористические игры. Знакомство с юмористическими играми. Основные правила и популярные ходы. Как правильно выиграть или соревноваться в эти игры.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Практика.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Пробные игры: Чужая планета, Орифламма, Взрывные котята, Прибамбасы, Свинтус.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11.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Подготовка тематического турнира.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Теория.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Тематический турнир (определение, виды). Что нужно для подготовки турнира.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Практика.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Разработка плана подготовки. Распределение заданий по группам. Подготовка и проведение соревнования.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12.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Участие в массовых мероприятиях по Плану Учреждения.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Практика. Участие в слётах, конкурсах и соревнованиях согласно Плану мероприятий Учреждения.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Тема 13.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Итоговая аттестация.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Создание собственной настольно-коммуникативной игры (по группам).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Cs/>
          <w:i/>
          <w:kern w:val="36"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</w:rPr>
        <w:t>Календарный учебный график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39"/>
        <w:gridCol w:w="845"/>
        <w:gridCol w:w="997"/>
        <w:gridCol w:w="1739"/>
        <w:gridCol w:w="782"/>
        <w:gridCol w:w="2146"/>
        <w:gridCol w:w="139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5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 Вводное занятие. Инструктаж по «Охране труда учащихся».-1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Сен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тябрь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Вводное занятие. Инструктаж по «Охране труда учащихся». Настольные игры и их 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роль.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2. Американская школа игр- 3 часа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Сен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тябрь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Американская школа игр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зачет по правилам изученных игр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3-4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Сен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тябрь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Американская школа игр. Пробные игры: Особняки безумия, Зомбицид, Descent.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зачет по правилам изученных игр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3. Европейская школа игр-3 часа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Европейская школа игр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зачет по правилам изученных игр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6-7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Европейская школа игр. Пробные игры: Анахронность, Орлеан, Виконты Западного королевства, Теотиуакан, Покорение Марса.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зачет по правилам изученных игр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4. Игры на тематику ПДД- 2 часа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тематику ПДД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зачет по правилам изученных игр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тематику ПДД.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Пробные игры: Правила дорожного движения.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зачет по правилам изученных игр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5. Настольные игры для компании- 4 часа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Настольные игры для компании.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зачет по правилам изученных игр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11-13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Ноябрь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, декабрь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Настольные игры для компании. Пробные игры: Кодовые имена, Декодер, Крокодил, Длина волны, Воображариум.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зачет по правилам изученных игр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6. Промежуточная аттестация- 3 часа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 ная практическая работа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Зачёты на знания правил игр. 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 опрос, анкетирование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 ная практическая работа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Тестирование по вопросам ПДД.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 опрос, анкетирование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 ная практическая работа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Опрос по организации и проведению учащимися игровых турниров.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 опрос, анкетирование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7. Семейные настольные игры- 4 часа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настольные игры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 опрос, анкетирование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18-20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Январь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, февраль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настольные игры.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Пробные игры: Руины острова Арнак, Остров кошек, Повелитель Токио, Архитекторы Западного королевства.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 опрос, анкетирование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8. Кооперативные игры – 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Кооперативные игры.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 опрос, анкетирование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22-24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Февраль, март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 ное занятие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Кооперативные игры. Пробные игры: Ужас Аркхэма, Остров духов, Мёртвый сезон, Цербер.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 опрос, анкетирование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9. Игры русских авторов- 2 часа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Игры русских авторов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 опрос, анкетирование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 ное занятие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Игры русских авторов. Пробные игры: Эволюция, Имаджинариум, Стальная арена, Свинтус.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 опрос, анкетирование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10. Филлеры- 3 часа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Филлеры.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 опрос, анкетирование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28-29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 ное занятие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Филлеры.Пробные игры: Чужая планета, Орифламма, Взрывные котята, Прибамбасы, Свинтус.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 опрос, анкетирование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11. Подготовка тематического турнира.- 3 часа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тематического турнира.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проведение беседы по игре, практикум по игре.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под руководством педагога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Тематический турнир (определение, виды). Что нужно для подготовки турнира.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проведение беседы по игре, практикум по игре.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под руководством педагога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плана подготовки. Распределение заданий по группам. Подготовка и проведение соревнования.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проведение беседы по игре, практикум по игре.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12. Участие в массовых мероприятиях по Плану Учреждения. – 1 час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Практика. Участие в слётах, конкурсах и соревнованиях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и групповые результаты участия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4" w:type="dxa"/>
            <w:gridSpan w:val="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Тема 13. Итоговая аттестация.- 1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95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 ная практическая работа</w:t>
            </w:r>
          </w:p>
        </w:tc>
        <w:tc>
          <w:tcPr>
            <w:tcW w:w="73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собственной настольно-коммуникативной игры</w:t>
            </w:r>
          </w:p>
        </w:tc>
        <w:tc>
          <w:tcPr>
            <w:tcW w:w="130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Точка роста, каб.97</w:t>
            </w:r>
          </w:p>
        </w:tc>
        <w:tc>
          <w:tcPr>
            <w:tcW w:w="16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е создание игрового продукта и его презентация.</w:t>
            </w:r>
          </w:p>
        </w:tc>
      </w:tr>
    </w:tbl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bCs/>
          <w:kern w:val="36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Cs/>
          <w:i/>
          <w:kern w:val="36"/>
          <w:sz w:val="28"/>
          <w:szCs w:val="28"/>
        </w:rPr>
      </w:pPr>
    </w:p>
    <w:p>
      <w:pPr>
        <w:rPr>
          <w:i/>
          <w:sz w:val="28"/>
          <w:szCs w:val="28"/>
        </w:rPr>
      </w:pPr>
    </w:p>
    <w:sectPr>
      <w:pgSz w:w="11911" w:h="17340"/>
      <w:pgMar w:top="1385" w:right="267" w:bottom="905" w:left="101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Songti SC">
    <w:altName w:val="SimSun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A3188"/>
    <w:multiLevelType w:val="multilevel"/>
    <w:tmpl w:val="5B1A31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EC744BE"/>
    <w:multiLevelType w:val="multilevel"/>
    <w:tmpl w:val="5EC744BE"/>
    <w:lvl w:ilvl="0" w:tentative="0">
      <w:start w:val="1"/>
      <w:numFmt w:val="bullet"/>
      <w:lvlText w:val=""/>
      <w:lvlJc w:val="left"/>
      <w:pPr>
        <w:ind w:left="24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B"/>
    <w:rsid w:val="00057A82"/>
    <w:rsid w:val="000A04EE"/>
    <w:rsid w:val="00240D43"/>
    <w:rsid w:val="00354529"/>
    <w:rsid w:val="006108A9"/>
    <w:rsid w:val="006536EB"/>
    <w:rsid w:val="007B653E"/>
    <w:rsid w:val="00801E8D"/>
    <w:rsid w:val="0082436B"/>
    <w:rsid w:val="00827462"/>
    <w:rsid w:val="00887939"/>
    <w:rsid w:val="008928AB"/>
    <w:rsid w:val="008F6435"/>
    <w:rsid w:val="0094363D"/>
    <w:rsid w:val="00A15916"/>
    <w:rsid w:val="00A65E2B"/>
    <w:rsid w:val="00B77ED7"/>
    <w:rsid w:val="00B85B6A"/>
    <w:rsid w:val="00C40FC2"/>
    <w:rsid w:val="00C52626"/>
    <w:rsid w:val="00C633DA"/>
    <w:rsid w:val="00C82B03"/>
    <w:rsid w:val="00E12BA1"/>
    <w:rsid w:val="00EC5A10"/>
    <w:rsid w:val="00F17944"/>
    <w:rsid w:val="02726CD5"/>
    <w:rsid w:val="1D2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  <w:style w:type="paragraph" w:customStyle="1" w:styleId="8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Songti SC" w:cs="Arial Unicode MS"/>
      <w:kern w:val="2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A014-EC0C-4721-B8A2-9065402E4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3353</Words>
  <Characters>19115</Characters>
  <Lines>159</Lines>
  <Paragraphs>44</Paragraphs>
  <TotalTime>12</TotalTime>
  <ScaleCrop>false</ScaleCrop>
  <LinksUpToDate>false</LinksUpToDate>
  <CharactersWithSpaces>22424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2023-09-07T08:56:00Z</dcterms:created>
  <dc:creator>ZAKUPKI</dc:creator>
  <cp:lastModifiedBy>79113</cp:lastModifiedBy>
  <dcterms:modified xsi:type="dcterms:W3CDTF">2023-09-18T19:56:42Z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3F5284C1E7454C70B19E6B10311DF726_12</vt:lpwstr>
  </property>
</Properties>
</file>